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644" w:rsidRDefault="00845644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845644" w:rsidRDefault="009B7D59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845644" w:rsidRDefault="00845644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845644" w:rsidRDefault="00845644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[PRONOME DE TRA</w:t>
      </w:r>
      <w:bookmarkStart w:id="0" w:name="_GoBack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845644" w:rsidRDefault="00845644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845644" w:rsidRDefault="00845644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845644" w:rsidRDefault="00845644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845644" w:rsidRDefault="00845644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845644" w:rsidRDefault="00845644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845644" w:rsidRDefault="009B7D59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845644" w:rsidRDefault="00845644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845644" w:rsidRDefault="009B7D59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845644" w:rsidRDefault="009B7D59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845644" w:rsidRDefault="009B7D59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845644" w:rsidRDefault="009B7D59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</w:t>
      </w:r>
      <w:r>
        <w:rPr>
          <w:rFonts w:ascii="Arial" w:eastAsia="Arial" w:hAnsi="Arial" w:cs="Arial"/>
          <w:sz w:val="22"/>
          <w:szCs w:val="22"/>
        </w:rPr>
        <w:t>o, o fato será imediatamente representado ao Tribunal de Contas, conforme previsão legal contida no artigo 248, § 1º, da Resolução nº 22/2008 - RITCE, podendo ainda, o responsável, incorrer na sanção prevista no art. 112, VII, da Lei n.º 16.168/2007 – LOTC</w:t>
      </w:r>
      <w:r>
        <w:rPr>
          <w:rFonts w:ascii="Arial" w:eastAsia="Arial" w:hAnsi="Arial" w:cs="Arial"/>
          <w:sz w:val="22"/>
          <w:szCs w:val="22"/>
        </w:rPr>
        <w:t>E.</w:t>
      </w:r>
    </w:p>
    <w:p w:rsidR="00845644" w:rsidRDefault="00845644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845644" w:rsidRDefault="009B7D59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845644" w:rsidRDefault="00845644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845644" w:rsidRDefault="00845644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845644" w:rsidRDefault="009B7D59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845644" w:rsidRDefault="009B7D59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845644" w:rsidRDefault="00845644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845644" w:rsidRDefault="00845644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845644" w:rsidRDefault="009B7D59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845644" w:rsidRDefault="009B7D59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845644" w:rsidRDefault="00845644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845644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B7D59">
      <w:r>
        <w:separator/>
      </w:r>
    </w:p>
  </w:endnote>
  <w:endnote w:type="continuationSeparator" w:id="0">
    <w:p w:rsidR="00000000" w:rsidRDefault="009B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644" w:rsidRDefault="009B7D59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845644" w:rsidRDefault="009B7D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845644" w:rsidRDefault="008456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845644" w:rsidRDefault="008456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B7D59">
      <w:r>
        <w:separator/>
      </w:r>
    </w:p>
  </w:footnote>
  <w:footnote w:type="continuationSeparator" w:id="0">
    <w:p w:rsidR="00000000" w:rsidRDefault="009B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644" w:rsidRDefault="00845644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907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845644">
      <w:trPr>
        <w:trHeight w:val="1418"/>
        <w:jc w:val="center"/>
      </w:trPr>
      <w:tc>
        <w:tcPr>
          <w:tcW w:w="2420" w:type="dxa"/>
          <w:vAlign w:val="center"/>
        </w:tcPr>
        <w:p w:rsidR="00845644" w:rsidRDefault="009B7D59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71F12B69" wp14:editId="4F58A4D7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50" w:type="dxa"/>
          <w:vAlign w:val="center"/>
        </w:tcPr>
        <w:p w:rsidR="00845644" w:rsidRDefault="009B7D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45644" w:rsidRDefault="009B7D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845644" w:rsidRDefault="009B7D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45644" w:rsidRDefault="009B7D5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45644" w:rsidRDefault="00845644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472D1"/>
    <w:multiLevelType w:val="multilevel"/>
    <w:tmpl w:val="0988E926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44"/>
    <w:rsid w:val="00845644"/>
    <w:rsid w:val="009B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8E62A-D390-44B0-B915-1BDDA8754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USjZZIZGiw417NlJ2WWg6nTGA==">CgMxLjAyCGguZ2pkZ3hzOAByITFrSUxDVHJLQUE5MV92aFBfcXBDWnZYZjdLUVFncjM1cw==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2025-08-01T11:34:00Z</dcterms:modified>
</cp:coreProperties>
</file>